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  <w:bookmarkStart w:id="0" w:name="_GoBack"/>
      <w:bookmarkEnd w:id="0"/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  <w:bookmarkStart w:id="1" w:name="Par1"/>
      <w:bookmarkEnd w:id="1"/>
      <w:r>
        <w:rPr>
          <w:rFonts w:cs="Calibri"/>
        </w:rPr>
        <w:t>13 апреля 2010 года N 460</w:t>
      </w:r>
      <w:r>
        <w:rPr>
          <w:rFonts w:cs="Calibri"/>
        </w:rPr>
        <w:br/>
      </w:r>
    </w:p>
    <w:p w:rsidR="002B1B1A" w:rsidRDefault="002B1B1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УКАЗ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ПРЕЗИДЕНТА РОССИЙСКОЙ ФЕДЕРАЦИИ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 НАЦИОНАЛЬНОЙ СТРАТЕГИИ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ПРОТИВОДЕЙСТВИЯ КОРРУПЦИИ И НАЦИОНАЛЬНОМ ПЛАНЕ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ПРОТИВОДЕЙСТВИЯ КОРРУПЦИИ НА 2010 - 2011 ГОДЫ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(в ред. </w:t>
      </w:r>
      <w:hyperlink r:id="rId4" w:history="1">
        <w:r>
          <w:rPr>
            <w:rFonts w:cs="Calibri"/>
            <w:color w:val="0000FF"/>
          </w:rPr>
          <w:t>Указа</w:t>
        </w:r>
      </w:hyperlink>
      <w:r>
        <w:rPr>
          <w:rFonts w:cs="Calibri"/>
        </w:rPr>
        <w:t xml:space="preserve"> Президента РФ от 13.03.2012 N 297)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 целях консолидации усилий федеральных органов государственной власти, иных государственных органов,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лиц, направленных на противодействие коррупции, и в соответствии с </w:t>
      </w:r>
      <w:hyperlink r:id="rId5" w:history="1">
        <w:r>
          <w:rPr>
            <w:rFonts w:cs="Calibri"/>
            <w:color w:val="0000FF"/>
          </w:rPr>
          <w:t>пунктом 1 части 1 статьи 5</w:t>
        </w:r>
      </w:hyperlink>
      <w:r>
        <w:rPr>
          <w:rFonts w:cs="Calibri"/>
        </w:rPr>
        <w:t xml:space="preserve"> Федерального закона от 25 декабря 2008 г. N 273-ФЗ "О противодействии коррупции" постановляю: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Утвердить прилагаемую Национальную </w:t>
      </w:r>
      <w:hyperlink w:anchor="Par47" w:history="1">
        <w:r>
          <w:rPr>
            <w:rFonts w:cs="Calibri"/>
            <w:color w:val="0000FF"/>
          </w:rPr>
          <w:t>стратегию</w:t>
        </w:r>
      </w:hyperlink>
      <w:r>
        <w:rPr>
          <w:rFonts w:cs="Calibri"/>
        </w:rPr>
        <w:t xml:space="preserve"> противодействия коррупции.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Утратил силу. - </w:t>
      </w:r>
      <w:hyperlink r:id="rId6" w:history="1">
        <w:r>
          <w:rPr>
            <w:rFonts w:cs="Calibri"/>
            <w:color w:val="0000FF"/>
          </w:rPr>
          <w:t>Указ</w:t>
        </w:r>
      </w:hyperlink>
      <w:r>
        <w:rPr>
          <w:rFonts w:cs="Calibri"/>
        </w:rPr>
        <w:t xml:space="preserve"> Президента РФ от 13.03.2012 N 297.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представлять один раз в год Президенту Российской Федерации доклад о ходе выполнения Национального </w:t>
      </w:r>
      <w:hyperlink w:anchor="Par134" w:history="1">
        <w:r>
          <w:rPr>
            <w:rFonts w:cs="Calibri"/>
            <w:color w:val="0000FF"/>
          </w:rPr>
          <w:t>плана</w:t>
        </w:r>
      </w:hyperlink>
      <w:r>
        <w:rPr>
          <w:rFonts w:cs="Calibri"/>
        </w:rPr>
        <w:t xml:space="preserve"> противодействия коррупции на 2010 - 2011 годы и предложения по совершенствованию деятельности, направленной на противодействие коррупции.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" w:name="Par18"/>
      <w:bookmarkEnd w:id="2"/>
      <w:r>
        <w:rPr>
          <w:rFonts w:cs="Calibri"/>
        </w:rPr>
        <w:t>4. Руководителям федеральных органов исполнительной власти, иных государственных органов: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принимать действенные меры по предотвращению и урегулированию конфликта интересов на государственной службе;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б) руководствуясь Национальной </w:t>
      </w:r>
      <w:hyperlink w:anchor="Par47" w:history="1">
        <w:r>
          <w:rPr>
            <w:rFonts w:cs="Calibri"/>
            <w:color w:val="0000FF"/>
          </w:rPr>
          <w:t>стратегией</w:t>
        </w:r>
      </w:hyperlink>
      <w:r>
        <w:rPr>
          <w:rFonts w:cs="Calibri"/>
        </w:rPr>
        <w:t xml:space="preserve"> противодействия коррупции и Национальным </w:t>
      </w:r>
      <w:hyperlink w:anchor="Par134" w:history="1">
        <w:r>
          <w:rPr>
            <w:rFonts w:cs="Calibri"/>
            <w:color w:val="0000FF"/>
          </w:rPr>
          <w:t>планом</w:t>
        </w:r>
      </w:hyperlink>
      <w:r>
        <w:rPr>
          <w:rFonts w:cs="Calibri"/>
        </w:rPr>
        <w:t xml:space="preserve"> противодействия коррупции на 2010 - 2011 годы, внести до 1 июня 2010 г. в планы соответствующих федеральных органов исполнительной власти и иных государственных органов по противодействию коррупции изменения, направленные на достижение конкретных результатов;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в) организовать контроль за выполнением мероприятий, предусмотренных планами;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г) обеспечивать своевременную корректировку планов в соответствии с национальным планом противодействия коррупции на соответствующий период;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д) оказывать содействие средствам массовой информации в широком освещении мер по противодействию коррупции, принимаемых соответствующими федеральными органами исполнительной власти, иными государственными органами;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е) 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ж) обеспечить усиление антикоррупционной составляющей при организации профессиональной переподготовки, повышения квалификации или стажировки федеральных государственных служащих.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Рекомендовать: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а) Счетной палате Российской Федерации при представлении в соответствии со </w:t>
      </w:r>
      <w:hyperlink r:id="rId7" w:history="1">
        <w:r>
          <w:rPr>
            <w:rFonts w:cs="Calibri"/>
            <w:color w:val="0000FF"/>
          </w:rPr>
          <w:t>статьей 2</w:t>
        </w:r>
      </w:hyperlink>
      <w:r>
        <w:rPr>
          <w:rFonts w:cs="Calibri"/>
        </w:rPr>
        <w:t xml:space="preserve"> Федерального закона от 11 января 1995 г. N 4-ФЗ "О Счетной палате Российской Федерации" палатам Федерального Собрания Российской Федерации информации о результатах проводимых контрольных мероприятий отражать вопросы, касающиеся предупреждения коррупции и борьбы с ней;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lastRenderedPageBreak/>
        <w:t xml:space="preserve">б) органам государственной власти субъектов Российской Федерации и органам местного самоуправления руководствоваться </w:t>
      </w:r>
      <w:hyperlink w:anchor="Par18" w:history="1">
        <w:r>
          <w:rPr>
            <w:rFonts w:cs="Calibri"/>
            <w:color w:val="0000FF"/>
          </w:rPr>
          <w:t>пунктом 4</w:t>
        </w:r>
      </w:hyperlink>
      <w:r>
        <w:rPr>
          <w:rFonts w:cs="Calibri"/>
        </w:rPr>
        <w:t xml:space="preserve"> настоящего Указа в отношении планов соответствующих субъектов Российской Федерации и муниципальных образований по противодействию коррупции.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саморегулируемым организациям, общественным организациям, объединяющим промышленников и предпринимателей, другим общественным объединениям проводить работу по формированию в обществе нетерпимого отношения к коррупционному поведению.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Президент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Российской Федерации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Д.МЕДВЕДЕВ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Москва, Кремль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13 апреля 2010 года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N 460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  <w:bookmarkStart w:id="3" w:name="Par42"/>
      <w:bookmarkEnd w:id="3"/>
      <w:r>
        <w:rPr>
          <w:rFonts w:cs="Calibri"/>
        </w:rPr>
        <w:t>Утверждена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Указом Президента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Российской Федерации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от 13 апреля 2010 г. N 460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bookmarkStart w:id="4" w:name="Par47"/>
      <w:bookmarkEnd w:id="4"/>
      <w:r>
        <w:rPr>
          <w:rFonts w:cs="Calibri"/>
          <w:b/>
          <w:bCs/>
        </w:rPr>
        <w:t>НАЦИОНАЛЬНАЯ СТРАТЕГИЯ ПРОТИВОДЕЙСТВИЯ КОРРУПЦИИ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bookmarkStart w:id="5" w:name="Par49"/>
      <w:bookmarkEnd w:id="5"/>
      <w:r>
        <w:rPr>
          <w:rFonts w:cs="Calibri"/>
        </w:rPr>
        <w:t>I. Общие положения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2B1B1A" w:rsidRDefault="002B1B1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proofErr w:type="spellStart"/>
      <w:r>
        <w:rPr>
          <w:rFonts w:cs="Calibri"/>
        </w:rPr>
        <w:t>КонсультантПлюс</w:t>
      </w:r>
      <w:proofErr w:type="spellEnd"/>
      <w:r>
        <w:rPr>
          <w:rFonts w:cs="Calibri"/>
        </w:rPr>
        <w:t>: примечание.</w:t>
      </w:r>
    </w:p>
    <w:p w:rsidR="002B1B1A" w:rsidRDefault="00A36A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hyperlink r:id="rId8" w:history="1">
        <w:r w:rsidR="002B1B1A">
          <w:rPr>
            <w:rFonts w:cs="Calibri"/>
            <w:color w:val="0000FF"/>
          </w:rPr>
          <w:t>Указом</w:t>
        </w:r>
      </w:hyperlink>
      <w:r w:rsidR="002B1B1A">
        <w:rPr>
          <w:rFonts w:cs="Calibri"/>
        </w:rPr>
        <w:t xml:space="preserve"> Президента РФ от 13.03.2012 N 297 утвержден </w:t>
      </w:r>
      <w:hyperlink r:id="rId9" w:history="1">
        <w:r w:rsidR="002B1B1A">
          <w:rPr>
            <w:rFonts w:cs="Calibri"/>
            <w:color w:val="0000FF"/>
          </w:rPr>
          <w:t>Национальный план</w:t>
        </w:r>
      </w:hyperlink>
      <w:r w:rsidR="002B1B1A">
        <w:rPr>
          <w:rFonts w:cs="Calibri"/>
        </w:rPr>
        <w:t xml:space="preserve"> противодействия коррупции на 2012 - 2013 годы.</w:t>
      </w:r>
    </w:p>
    <w:p w:rsidR="002B1B1A" w:rsidRDefault="002B1B1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Во исполнение Национального </w:t>
      </w:r>
      <w:hyperlink r:id="rId10" w:history="1">
        <w:r>
          <w:rPr>
            <w:rFonts w:cs="Calibri"/>
            <w:color w:val="0000FF"/>
          </w:rPr>
          <w:t>плана</w:t>
        </w:r>
      </w:hyperlink>
      <w:r>
        <w:rPr>
          <w:rFonts w:cs="Calibri"/>
        </w:rPr>
        <w:t xml:space="preserve"> противодействия коррупции, утвержденного Президентом Российской Федерации 31 июля 2008 г. N Пр-1568, в России 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Анализ работы государственных и общественных институтов по исполнению Федерального </w:t>
      </w:r>
      <w:hyperlink r:id="rId11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от 25 декабря 2008 г. N 273-ФЗ "О противодействии коррупции" и Национального </w:t>
      </w:r>
      <w:hyperlink r:id="rId12" w:history="1">
        <w:r>
          <w:rPr>
            <w:rFonts w:cs="Calibri"/>
            <w:color w:val="0000FF"/>
          </w:rPr>
          <w:t>плана</w:t>
        </w:r>
      </w:hyperlink>
      <w:r>
        <w:rPr>
          <w:rFonts w:cs="Calibri"/>
        </w:rPr>
        <w:t xml:space="preserve"> противодействия коррупции, утвержденного Президентом Российской Федерации 31 июля 2008 г. N 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 Федерации, охватывающей федеральный, региональный и муниципальный уровни, направленной на устранение коренных причин коррупции в обществе и </w:t>
      </w:r>
      <w:r>
        <w:rPr>
          <w:rFonts w:cs="Calibri"/>
        </w:rPr>
        <w:lastRenderedPageBreak/>
        <w:t>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Национальная стратегия противодействия коррупции разработана: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исходя из анализа ситуации, связанной с различными проявлениями коррупции в Российской Федерации;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на основании общей оценки эффективности существующей системы мер по противодействию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в) с учетом мер по предупреждению коррупции и по борьбе с ней, предусмотренных </w:t>
      </w:r>
      <w:hyperlink r:id="rId13" w:history="1">
        <w:r>
          <w:rPr>
            <w:rFonts w:cs="Calibri"/>
            <w:color w:val="0000FF"/>
          </w:rPr>
          <w:t>Конвенцией</w:t>
        </w:r>
      </w:hyperlink>
      <w:r>
        <w:rPr>
          <w:rFonts w:cs="Calibri"/>
        </w:rPr>
        <w:t xml:space="preserve"> Организации Объединенных Наций против коррупции, </w:t>
      </w:r>
      <w:hyperlink r:id="rId14" w:history="1">
        <w:r>
          <w:rPr>
            <w:rFonts w:cs="Calibri"/>
            <w:color w:val="0000FF"/>
          </w:rPr>
          <w:t>Конвенцией</w:t>
        </w:r>
      </w:hyperlink>
      <w:r>
        <w:rPr>
          <w:rFonts w:cs="Calibri"/>
        </w:rPr>
        <w:t xml:space="preserve">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4. Меры по реализации Национальной стратегии противодействия коррупции, отражаемые в правовых актах Российской Федерации, в национальном </w:t>
      </w:r>
      <w:hyperlink r:id="rId15" w:history="1">
        <w:r>
          <w:rPr>
            <w:rFonts w:cs="Calibri"/>
            <w:color w:val="0000FF"/>
          </w:rPr>
          <w:t>плане</w:t>
        </w:r>
      </w:hyperlink>
      <w:r>
        <w:rPr>
          <w:rFonts w:cs="Calibri"/>
        </w:rPr>
        <w:t xml:space="preserve">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</w:t>
      </w:r>
      <w:hyperlink r:id="rId16" w:history="1">
        <w:r>
          <w:rPr>
            <w:rFonts w:cs="Calibri"/>
            <w:color w:val="0000FF"/>
          </w:rPr>
          <w:t>декларации</w:t>
        </w:r>
      </w:hyperlink>
      <w:r>
        <w:rPr>
          <w:rFonts w:cs="Calibri"/>
        </w:rPr>
        <w:t xml:space="preserve"> прав человека и в Международном пакте об экономических, социальных и культурных правах.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bookmarkStart w:id="6" w:name="Par64"/>
      <w:bookmarkEnd w:id="6"/>
      <w:r>
        <w:rPr>
          <w:rFonts w:cs="Calibri"/>
        </w:rPr>
        <w:t>II. Цель и задачи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Национальной стратегии противодействия коррупции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 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Для достижения цели Национальной стратегии противодействия коррупции последовательно решаются следующие задачи: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формирование соответствующих потребностям времени законодательных и организационных основ противодействия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в) 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bookmarkStart w:id="7" w:name="Par73"/>
      <w:bookmarkEnd w:id="7"/>
      <w:r>
        <w:rPr>
          <w:rFonts w:cs="Calibri"/>
        </w:rPr>
        <w:t>III. Основные принципы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Национальной стратегии противодействия коррупции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 Основными принципами Национальной стратегии противодействия коррупции являются: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признание коррупции одной из системных угроз безопасности Российской Федерации;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в) стабильность основных элементов системы мер по противодействию коррупции, закрепленных в Федеральном </w:t>
      </w:r>
      <w:hyperlink r:id="rId17" w:history="1">
        <w:r>
          <w:rPr>
            <w:rFonts w:cs="Calibri"/>
            <w:color w:val="0000FF"/>
          </w:rPr>
          <w:t>законе</w:t>
        </w:r>
      </w:hyperlink>
      <w:r>
        <w:rPr>
          <w:rFonts w:cs="Calibri"/>
        </w:rPr>
        <w:t xml:space="preserve"> от 25 декабря 2008 г. N 273-ФЗ "О противодействии коррупции";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г) конкретизация антикоррупционных положений федеральных законов, Национальной стратегии противодействия коррупции, национального плана противодействия коррупции на соответствующий период в правовых актах федеральных органов исполнительной власти, иных </w:t>
      </w:r>
      <w:r>
        <w:rPr>
          <w:rFonts w:cs="Calibri"/>
        </w:rPr>
        <w:lastRenderedPageBreak/>
        <w:t>государственных органов, органов государственной власти субъектов Российской Федерации и в муниципальных правовых актах.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bookmarkStart w:id="8" w:name="Par82"/>
      <w:bookmarkEnd w:id="8"/>
      <w:r>
        <w:rPr>
          <w:rFonts w:cs="Calibri"/>
        </w:rPr>
        <w:t>IV. Основные направления реализации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Национальной стратегии противодействия коррупции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 Национальная стратегия противодействия коррупции реализуется по следующим основным направлениям: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обеспечение участия институтов гражданского общества в противодействии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 государственных услуг;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г) совершенствование системы учета государственного имущества и оценки эффективности его использования;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д) устранение </w:t>
      </w:r>
      <w:proofErr w:type="spellStart"/>
      <w:r>
        <w:rPr>
          <w:rFonts w:cs="Calibri"/>
        </w:rPr>
        <w:t>коррупциогенных</w:t>
      </w:r>
      <w:proofErr w:type="spellEnd"/>
      <w:r>
        <w:rPr>
          <w:rFonts w:cs="Calibri"/>
        </w:rPr>
        <w:t xml:space="preserve"> факторов, препятствующих созданию благоприятных условий для привлечения инвестиций;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е) 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ж) расширение системы правового просвещения населения;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з) модернизация гражданского законодательства;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и) дальнейшее развитие правовой основы противодействия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л) совершенствование работы подразделений кадровых служб федеральных органов исполнительной власти и иных государственных органов по профилактике коррупционных и других правонарушений;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м) 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н) совершенствование правоприменительной практики правоохранительных органов и судов по делам, связанным с коррупцией;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о) повышение эффективности исполнения судебных решений;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п) разработка организационных и правовых основ мониторинга </w:t>
      </w:r>
      <w:proofErr w:type="spellStart"/>
      <w:r>
        <w:rPr>
          <w:rFonts w:cs="Calibri"/>
        </w:rPr>
        <w:t>правоприменения</w:t>
      </w:r>
      <w:proofErr w:type="spellEnd"/>
      <w:r>
        <w:rPr>
          <w:rFonts w:cs="Calibri"/>
        </w:rPr>
        <w:t xml:space="preserve">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р) 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с) повышение денежного содержания и пенсионного обеспечения государственных и муниципальных служащих;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т) 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</w:t>
      </w:r>
      <w:r>
        <w:rPr>
          <w:rFonts w:cs="Calibri"/>
        </w:rPr>
        <w:lastRenderedPageBreak/>
        <w:t>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у) повышение качества профессиональной подготовки специалистов в сфере организации противодействия и непосредственного противодействия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ф) совершенствование системы финансового учета и отчетности в соответствии с требованиями международных стандартов;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х) повышение эффективности участия Российской Федерации в международном сотрудничестве в антикоррупционной сфере, включая разработку организационных основ регионального антикоррупционного форума, оказание при необходимости поддержки другим государствам в обучении специалистов, исследовании причин и последствий коррупции.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bookmarkStart w:id="9" w:name="Par108"/>
      <w:bookmarkEnd w:id="9"/>
      <w:r>
        <w:rPr>
          <w:rFonts w:cs="Calibri"/>
        </w:rPr>
        <w:t>V. Механизм реализации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Национальной стратегии противодействия коррупции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 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при формировании и исполнении бюджетов всех уровней;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путем решения кадровых вопросов;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г) путем оперативного приведения: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правовых актов федеральных государственных органов, органов государственной власти субъектов Российской Федерации и муниципальных правовых актов - в соответствие с требованиями федеральных законов по вопросам противодействия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правовых актов органов государственной власти субъектов Российской Федерации 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муниципальных правовых актов 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д) в ходе контроля за исполнением законодательства Российской Федерации и выполнением мероприятий, предусмотренных национальным </w:t>
      </w:r>
      <w:hyperlink r:id="rId18" w:history="1">
        <w:r>
          <w:rPr>
            <w:rFonts w:cs="Calibri"/>
            <w:color w:val="0000FF"/>
          </w:rPr>
          <w:t>планом</w:t>
        </w:r>
      </w:hyperlink>
      <w:r>
        <w:rPr>
          <w:rFonts w:cs="Calibri"/>
        </w:rPr>
        <w:t xml:space="preserve">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е) путем обеспечения неотвратимости ответственности за коррупционные правонарушения и объективного применения законодательства Российской Федерации;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ж) путем оказания содействия средствам массовой информации в широком и объективном освещении положения дел в области противодействия коррупции;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з) 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  <w:bookmarkStart w:id="10" w:name="Par126"/>
      <w:bookmarkEnd w:id="10"/>
      <w:r>
        <w:rPr>
          <w:rFonts w:cs="Calibri"/>
        </w:rPr>
        <w:t>Утвержден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Президентом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Российской Федерации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31 июля 2008 г. N Пр-1568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(в редакции Указа Президента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lastRenderedPageBreak/>
        <w:t>Российской Федерации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от 13 апреля 2010 г. N 460)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bookmarkStart w:id="11" w:name="Par134"/>
      <w:bookmarkEnd w:id="11"/>
      <w:r>
        <w:rPr>
          <w:rFonts w:cs="Calibri"/>
          <w:b/>
          <w:bCs/>
        </w:rPr>
        <w:t>НАЦИОНАЛЬНЫЙ ПЛАН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ПРОТИВОДЕЙСТВИЯ КОРРУПЦИИ НА 2010 - 2011 ГОДЫ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Утратил силу. - </w:t>
      </w:r>
      <w:hyperlink r:id="rId19" w:history="1">
        <w:r>
          <w:rPr>
            <w:rFonts w:cs="Calibri"/>
            <w:color w:val="0000FF"/>
          </w:rPr>
          <w:t>Указ</w:t>
        </w:r>
      </w:hyperlink>
      <w:r>
        <w:rPr>
          <w:rFonts w:cs="Calibri"/>
        </w:rPr>
        <w:t xml:space="preserve"> Президента РФ от 13.03.2012 N 297.</w:t>
      </w: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1B1A" w:rsidRDefault="002B1B1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52634C" w:rsidRDefault="0052634C"/>
    <w:sectPr w:rsidR="0052634C" w:rsidSect="00E1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1A"/>
    <w:rsid w:val="002B1B1A"/>
    <w:rsid w:val="00333E5F"/>
    <w:rsid w:val="0052634C"/>
    <w:rsid w:val="00A36AAC"/>
    <w:rsid w:val="00E1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46332-62C2-4FA5-90FF-11E1C97F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AA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999854F8CC0842001E42F283B960A89EAF4FCA1902EFF3A3BEE2E695DE41B01005F6F93C9FA5D6S614G" TargetMode="External"/><Relationship Id="rId13" Type="http://schemas.openxmlformats.org/officeDocument/2006/relationships/hyperlink" Target="consultantplus://offline/ref=55999854F8CC0842001E42F283B960A89EA94DCD1B02EFF3A3BEE2E695SD1EG" TargetMode="External"/><Relationship Id="rId18" Type="http://schemas.openxmlformats.org/officeDocument/2006/relationships/hyperlink" Target="consultantplus://offline/ref=55999854F8CC0842001E42F283B960A89EAF4FCA1902EFF3A3BEE2E695DE41B01005F6F93C9FA5DFS616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55999854F8CC0842001E42F283B960A89EA844C91703EFF3A3BEE2E695DE41B01005F6F93C9FA5D4S611G" TargetMode="External"/><Relationship Id="rId12" Type="http://schemas.openxmlformats.org/officeDocument/2006/relationships/hyperlink" Target="consultantplus://offline/ref=55999854F8CC0842001E42F283B960A89EAB45CF1703EFF3A3BEE2E695SD1EG" TargetMode="External"/><Relationship Id="rId17" Type="http://schemas.openxmlformats.org/officeDocument/2006/relationships/hyperlink" Target="consultantplus://offline/ref=55999854F8CC0842001E42F283B960A89EAE4EC91D01EFF3A3BEE2E695SD1E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5999854F8CC0842001E42F283B960A89EA94CC41F07EFF3A3BEE2E695SD1E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999854F8CC0842001E42F283B960A89EAF4FCA1902EFF3A3BEE2E695DE41B01005F6F93C9FA5DES61AG" TargetMode="External"/><Relationship Id="rId11" Type="http://schemas.openxmlformats.org/officeDocument/2006/relationships/hyperlink" Target="consultantplus://offline/ref=55999854F8CC0842001E42F283B960A89EAE4EC91D01EFF3A3BEE2E695SD1EG" TargetMode="External"/><Relationship Id="rId5" Type="http://schemas.openxmlformats.org/officeDocument/2006/relationships/hyperlink" Target="consultantplus://offline/ref=55999854F8CC0842001E42F283B960A89EAE4EC91D01EFF3A3BEE2E695DE41B01005F6F93C9FA5D5S61AG" TargetMode="External"/><Relationship Id="rId15" Type="http://schemas.openxmlformats.org/officeDocument/2006/relationships/hyperlink" Target="consultantplus://offline/ref=55999854F8CC0842001E42F283B960A89EAF4FCA1902EFF3A3BEE2E695DE41B01005F6F93C9FA5DFS616G" TargetMode="External"/><Relationship Id="rId10" Type="http://schemas.openxmlformats.org/officeDocument/2006/relationships/hyperlink" Target="consultantplus://offline/ref=55999854F8CC0842001E42F283B960A89EAB45CF1703EFF3A3BEE2E695DE41B01005F6F93C9FA4D2S614G" TargetMode="External"/><Relationship Id="rId19" Type="http://schemas.openxmlformats.org/officeDocument/2006/relationships/hyperlink" Target="consultantplus://offline/ref=55999854F8CC0842001E42F283B960A89EAF4FCA1902EFF3A3BEE2E695DE41B01005F6F93C9FA5DES61AG" TargetMode="External"/><Relationship Id="rId4" Type="http://schemas.openxmlformats.org/officeDocument/2006/relationships/hyperlink" Target="consultantplus://offline/ref=55999854F8CC0842001E42F283B960A89EAF4FCA1902EFF3A3BEE2E695DE41B01005F6F93C9FA5DES61AG" TargetMode="External"/><Relationship Id="rId9" Type="http://schemas.openxmlformats.org/officeDocument/2006/relationships/hyperlink" Target="consultantplus://offline/ref=55999854F8CC0842001E42F283B960A89EAF4FCA1902EFF3A3BEE2E695DE41B01005F6F93C9FA5DFS616G" TargetMode="External"/><Relationship Id="rId14" Type="http://schemas.openxmlformats.org/officeDocument/2006/relationships/hyperlink" Target="consultantplus://offline/ref=55999854F8CC0842001E42F283B960A89EA94DC91B06EFF3A3BEE2E695SD1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2680</Words>
  <Characters>15280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17925</CharactersWithSpaces>
  <SharedDoc>false</SharedDoc>
  <HLinks>
    <vt:vector size="126" baseType="variant">
      <vt:variant>
        <vt:i4>3473462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consultantplus://offline/ref=55999854F8CC0842001E42F283B960A89EAF4FCA1902EFF3A3BEE2E695DE41B01005F6F93C9FA5DES61AG</vt:lpwstr>
      </vt:variant>
      <vt:variant>
        <vt:lpwstr/>
      </vt:variant>
      <vt:variant>
        <vt:i4>3473506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consultantplus://offline/ref=55999854F8CC0842001E42F283B960A89EAF4FCA1902EFF3A3BEE2E695DE41B01005F6F93C9FA5DFS616G</vt:lpwstr>
      </vt:variant>
      <vt:variant>
        <vt:lpwstr/>
      </vt:variant>
      <vt:variant>
        <vt:i4>589917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consultantplus://offline/ref=55999854F8CC0842001E42F283B960A89EAE4EC91D01EFF3A3BEE2E695SD1EG</vt:lpwstr>
      </vt:variant>
      <vt:variant>
        <vt:lpwstr/>
      </vt:variant>
      <vt:variant>
        <vt:i4>589838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consultantplus://offline/ref=55999854F8CC0842001E42F283B960A89EA94CC41F07EFF3A3BEE2E695SD1EG</vt:lpwstr>
      </vt:variant>
      <vt:variant>
        <vt:lpwstr/>
      </vt:variant>
      <vt:variant>
        <vt:i4>3473506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consultantplus://offline/ref=55999854F8CC0842001E42F283B960A89EAF4FCA1902EFF3A3BEE2E695DE41B01005F6F93C9FA5DFS616G</vt:lpwstr>
      </vt:variant>
      <vt:variant>
        <vt:lpwstr/>
      </vt:variant>
      <vt:variant>
        <vt:i4>589825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consultantplus://offline/ref=55999854F8CC0842001E42F283B960A89EA94DC91B06EFF3A3BEE2E695SD1EG</vt:lpwstr>
      </vt:variant>
      <vt:variant>
        <vt:lpwstr/>
      </vt:variant>
      <vt:variant>
        <vt:i4>589912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consultantplus://offline/ref=55999854F8CC0842001E42F283B960A89EA94DCD1B02EFF3A3BEE2E695SD1EG</vt:lpwstr>
      </vt:variant>
      <vt:variant>
        <vt:lpwstr/>
      </vt:variant>
      <vt:variant>
        <vt:i4>589828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consultantplus://offline/ref=55999854F8CC0842001E42F283B960A89EAB45CF1703EFF3A3BEE2E695SD1EG</vt:lpwstr>
      </vt:variant>
      <vt:variant>
        <vt:lpwstr/>
      </vt:variant>
      <vt:variant>
        <vt:i4>589917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consultantplus://offline/ref=55999854F8CC0842001E42F283B960A89EAE4EC91D01EFF3A3BEE2E695SD1EG</vt:lpwstr>
      </vt:variant>
      <vt:variant>
        <vt:lpwstr/>
      </vt:variant>
      <vt:variant>
        <vt:i4>3473514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consultantplus://offline/ref=55999854F8CC0842001E42F283B960A89EAB45CF1703EFF3A3BEE2E695DE41B01005F6F93C9FA4D2S614G</vt:lpwstr>
      </vt:variant>
      <vt:variant>
        <vt:lpwstr/>
      </vt:variant>
      <vt:variant>
        <vt:i4>3473506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consultantplus://offline/ref=55999854F8CC0842001E42F283B960A89EAF4FCA1902EFF3A3BEE2E695DE41B01005F6F93C9FA5DFS616G</vt:lpwstr>
      </vt:variant>
      <vt:variant>
        <vt:lpwstr/>
      </vt:variant>
      <vt:variant>
        <vt:i4>3473456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consultantplus://offline/ref=55999854F8CC0842001E42F283B960A89EAF4FCA1902EFF3A3BEE2E695DE41B01005F6F93C9FA5D6S614G</vt:lpwstr>
      </vt:variant>
      <vt:variant>
        <vt:lpwstr/>
      </vt:variant>
      <vt:variant>
        <vt:i4>5242882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  <vt:variant>
        <vt:i4>3473516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consultantplus://offline/ref=55999854F8CC0842001E42F283B960A89EA844C91703EFF3A3BEE2E695DE41B01005F6F93C9FA5D4S611G</vt:lpwstr>
      </vt:variant>
      <vt:variant>
        <vt:lpwstr/>
      </vt:variant>
      <vt:variant>
        <vt:i4>6553649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Par134</vt:lpwstr>
      </vt:variant>
      <vt:variant>
        <vt:i4>5570562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6553649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Par134</vt:lpwstr>
      </vt:variant>
      <vt:variant>
        <vt:i4>3473462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consultantplus://offline/ref=55999854F8CC0842001E42F283B960A89EAF4FCA1902EFF3A3BEE2E695DE41B01005F6F93C9FA5DES61AG</vt:lpwstr>
      </vt:variant>
      <vt:variant>
        <vt:lpwstr/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3473504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consultantplus://offline/ref=55999854F8CC0842001E42F283B960A89EAE4EC91D01EFF3A3BEE2E695DE41B01005F6F93C9FA5D5S61AG</vt:lpwstr>
      </vt:variant>
      <vt:variant>
        <vt:lpwstr/>
      </vt:variant>
      <vt:variant>
        <vt:i4>3473462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consultantplus://offline/ref=55999854F8CC0842001E42F283B960A89EAF4FCA1902EFF3A3BEE2E695DE41B01005F6F93C9FA5DES61AG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 Виталий Семенович</dc:creator>
  <cp:keywords/>
  <cp:lastModifiedBy>Анна Пермогорцева</cp:lastModifiedBy>
  <cp:revision>2</cp:revision>
  <dcterms:created xsi:type="dcterms:W3CDTF">2025-12-30T09:45:00Z</dcterms:created>
  <dcterms:modified xsi:type="dcterms:W3CDTF">2025-12-30T09:45:00Z</dcterms:modified>
</cp:coreProperties>
</file>